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58EC" w:rsidRPr="00146C8D" w:rsidRDefault="00F33E29">
      <w:pPr>
        <w:jc w:val="center"/>
        <w:rPr>
          <w:rFonts w:ascii="宋体" w:hAnsi="宋体" w:cs="宋体"/>
          <w:b/>
          <w:color w:val="000000" w:themeColor="text1"/>
          <w:sz w:val="36"/>
          <w:szCs w:val="36"/>
        </w:rPr>
      </w:pPr>
      <w:bookmarkStart w:id="0" w:name="_Toc36573422"/>
      <w:r w:rsidRPr="00146C8D">
        <w:rPr>
          <w:rFonts w:ascii="宋体" w:hAnsi="宋体" w:cs="宋体" w:hint="eastAsia"/>
          <w:b/>
          <w:color w:val="000000" w:themeColor="text1"/>
          <w:sz w:val="36"/>
          <w:szCs w:val="36"/>
        </w:rPr>
        <w:t>台子沟村庄改造项目地块</w:t>
      </w:r>
    </w:p>
    <w:p w:rsidR="00D458EC" w:rsidRPr="00146C8D" w:rsidRDefault="00F33E29">
      <w:pPr>
        <w:jc w:val="center"/>
        <w:rPr>
          <w:rFonts w:ascii="宋体" w:hAnsi="宋体" w:cs="宋体"/>
          <w:b/>
          <w:color w:val="000000" w:themeColor="text1"/>
          <w:sz w:val="36"/>
          <w:szCs w:val="36"/>
        </w:rPr>
      </w:pPr>
      <w:r w:rsidRPr="00146C8D">
        <w:rPr>
          <w:rFonts w:ascii="宋体" w:hAnsi="宋体" w:cs="宋体" w:hint="eastAsia"/>
          <w:b/>
          <w:color w:val="000000" w:themeColor="text1"/>
          <w:sz w:val="36"/>
          <w:szCs w:val="36"/>
        </w:rPr>
        <w:t>土壤污染状况初步调查报告（简本）</w:t>
      </w:r>
    </w:p>
    <w:p w:rsidR="00D458EC" w:rsidRDefault="00F33E29">
      <w:pPr>
        <w:autoSpaceDE w:val="0"/>
        <w:autoSpaceDN w:val="0"/>
        <w:snapToGrid/>
        <w:ind w:firstLine="482"/>
        <w:rPr>
          <w:bCs/>
          <w:lang w:bidi="en-US"/>
        </w:rPr>
      </w:pPr>
      <w:r>
        <w:rPr>
          <w:rFonts w:cs="宋体" w:hint="eastAsia"/>
          <w:bCs/>
          <w:lang w:bidi="en-US"/>
        </w:rPr>
        <w:t>随着环境保护问题日益被重视，为加强工业企业及市政场地环境监督管理，预防和控制污染场地再开发利用对环境和人体健康的危害，根据《中华人民共和国环境保护法》，《中华人民共和国土壤污染防治法》有关规定，土地用途变更为住宅、公共管理与公共服务用地的，变更前应当按照规定进行土壤污染状况调查，对存在污染风险的土壤，需进行修复并达到相应用地类型环境质量要求后方可利用。</w:t>
      </w:r>
    </w:p>
    <w:p w:rsidR="00D458EC" w:rsidRDefault="00F33E29">
      <w:pPr>
        <w:ind w:firstLineChars="200" w:firstLine="480"/>
        <w:rPr>
          <w:rFonts w:cs="宋体"/>
          <w:bCs/>
          <w:lang w:bidi="en-US"/>
        </w:rPr>
      </w:pPr>
      <w:r>
        <w:rPr>
          <w:rFonts w:cs="宋体" w:hint="eastAsia"/>
          <w:bCs/>
          <w:lang w:bidi="en-US"/>
        </w:rPr>
        <w:t>为保证人居环境安全，青岛开发区投资建设集团于</w:t>
      </w:r>
      <w:r>
        <w:rPr>
          <w:bCs/>
          <w:lang w:bidi="en-US"/>
        </w:rPr>
        <w:t>2020</w:t>
      </w:r>
      <w:r>
        <w:rPr>
          <w:rFonts w:cs="宋体" w:hint="eastAsia"/>
          <w:bCs/>
          <w:lang w:bidi="en-US"/>
        </w:rPr>
        <w:t>年</w:t>
      </w:r>
      <w:r>
        <w:rPr>
          <w:bCs/>
          <w:lang w:bidi="en-US"/>
        </w:rPr>
        <w:t>3</w:t>
      </w:r>
      <w:r>
        <w:rPr>
          <w:rFonts w:cs="宋体" w:hint="eastAsia"/>
          <w:bCs/>
          <w:lang w:bidi="en-US"/>
        </w:rPr>
        <w:t>月</w:t>
      </w:r>
      <w:r>
        <w:rPr>
          <w:bCs/>
          <w:lang w:bidi="en-US"/>
        </w:rPr>
        <w:t>10</w:t>
      </w:r>
      <w:r>
        <w:rPr>
          <w:rFonts w:cs="宋体" w:hint="eastAsia"/>
          <w:bCs/>
          <w:lang w:bidi="en-US"/>
        </w:rPr>
        <w:t>日委托青岛京诚检测科技有限公司对本地块开展了场地环境初步调查工作，我公司接受委托后，按照《建设用地土壤环境调查评估技术指南》（环发</w:t>
      </w:r>
      <w:r>
        <w:rPr>
          <w:bCs/>
          <w:lang w:bidi="en-US"/>
        </w:rPr>
        <w:t>[2017]72</w:t>
      </w:r>
      <w:r>
        <w:rPr>
          <w:rFonts w:cs="宋体" w:hint="eastAsia"/>
          <w:bCs/>
          <w:lang w:bidi="en-US"/>
        </w:rPr>
        <w:t>号）、《场地环境调查技术导则》（</w:t>
      </w:r>
      <w:r>
        <w:rPr>
          <w:bCs/>
          <w:lang w:bidi="en-US"/>
        </w:rPr>
        <w:t>HJ25.1-2019</w:t>
      </w:r>
      <w:r>
        <w:rPr>
          <w:rFonts w:cs="宋体" w:hint="eastAsia"/>
          <w:bCs/>
          <w:lang w:bidi="en-US"/>
        </w:rPr>
        <w:t>）和《场地环境监测技术导则》（</w:t>
      </w:r>
      <w:r>
        <w:rPr>
          <w:bCs/>
          <w:lang w:bidi="en-US"/>
        </w:rPr>
        <w:t>HJ25.2-2019</w:t>
      </w:r>
      <w:r>
        <w:rPr>
          <w:rFonts w:cs="宋体" w:hint="eastAsia"/>
          <w:bCs/>
          <w:lang w:bidi="en-US"/>
        </w:rPr>
        <w:t>）要求，及时对该场地土地利用状况进行了资料收集、并对相关人员和部门进行了访问调查。根据所掌握的资料信息，通过分析判断场地所受到污染的可能性，进行必要的现场采样、检测工作，提出了场地环境调查的结论，最终编制形成本地块土壤污染状况调查报告。为该地块的开发利用提供技</w:t>
      </w:r>
      <w:r>
        <w:rPr>
          <w:rFonts w:cs="宋体" w:hint="eastAsia"/>
          <w:bCs/>
          <w:lang w:bidi="en-US"/>
        </w:rPr>
        <w:t>术依据。</w:t>
      </w:r>
    </w:p>
    <w:p w:rsidR="00D458EC" w:rsidRPr="00146C8D" w:rsidRDefault="00146C8D" w:rsidP="00146C8D">
      <w:pPr>
        <w:pStyle w:val="1"/>
        <w:spacing w:before="240" w:after="0" w:line="360" w:lineRule="auto"/>
        <w:jc w:val="left"/>
        <w:rPr>
          <w:rFonts w:ascii="宋体" w:hAnsi="宋体" w:hint="eastAsia"/>
          <w:bCs/>
          <w:sz w:val="30"/>
          <w:szCs w:val="30"/>
          <w:lang w:bidi="en-US"/>
        </w:rPr>
      </w:pPr>
      <w:r w:rsidRPr="00146C8D">
        <w:rPr>
          <w:rFonts w:ascii="宋体" w:hAnsi="宋体" w:hint="eastAsia"/>
          <w:bCs/>
          <w:sz w:val="30"/>
          <w:szCs w:val="30"/>
          <w:lang w:bidi="en-US"/>
        </w:rPr>
        <w:t>1</w:t>
      </w:r>
      <w:r w:rsidRPr="00146C8D">
        <w:rPr>
          <w:rFonts w:ascii="宋体" w:hAnsi="宋体"/>
          <w:bCs/>
          <w:sz w:val="30"/>
          <w:szCs w:val="30"/>
          <w:lang w:bidi="en-US"/>
        </w:rPr>
        <w:t>.</w:t>
      </w:r>
      <w:r w:rsidRPr="00146C8D">
        <w:rPr>
          <w:rFonts w:ascii="宋体" w:hAnsi="宋体" w:hint="eastAsia"/>
          <w:bCs/>
          <w:sz w:val="30"/>
          <w:szCs w:val="30"/>
          <w:lang w:bidi="en-US"/>
        </w:rPr>
        <w:t>地块概况</w:t>
      </w:r>
    </w:p>
    <w:p w:rsidR="00146C8D" w:rsidRDefault="00146C8D" w:rsidP="00146C8D">
      <w:pPr>
        <w:ind w:firstLineChars="200" w:firstLine="480"/>
      </w:pPr>
      <w:r>
        <w:rPr>
          <w:rFonts w:hint="eastAsia"/>
        </w:rPr>
        <w:t>台子沟村庄改造项目地块位于黄岛区转型发展区八号线以西、转型发展区三号路北，兴邦烤箱北侧，交通便利，地块占地面积</w:t>
      </w:r>
      <w:r>
        <w:rPr>
          <w:rFonts w:hint="eastAsia"/>
        </w:rPr>
        <w:t>18628m</w:t>
      </w:r>
      <w:r>
        <w:rPr>
          <w:rFonts w:hint="eastAsia"/>
          <w:vertAlign w:val="superscript"/>
        </w:rPr>
        <w:t>2</w:t>
      </w:r>
      <w:r>
        <w:rPr>
          <w:rFonts w:hint="eastAsia"/>
        </w:rPr>
        <w:t>。该地块以前为农用地，</w:t>
      </w:r>
      <w:r>
        <w:rPr>
          <w:rFonts w:hint="eastAsia"/>
        </w:rPr>
        <w:t>03</w:t>
      </w:r>
      <w:r>
        <w:rPr>
          <w:rFonts w:hint="eastAsia"/>
        </w:rPr>
        <w:t>年前后地块内西侧青岛金克来玻璃公司和青岛海瑞进出口公司开工建设，目前两企业已搬迁，企业原场地已平整硬化。青岛金克来玻璃公司是经营以钢化中空玻璃和中空玻璃二道密封胶及其辅助材料为主的外贸公司；青岛海瑞进出口公司是一家以经营包装为主的生产加工型企业，主要经营拉伸膜、胶带、打包带、</w:t>
      </w:r>
      <w:r>
        <w:rPr>
          <w:rFonts w:hint="eastAsia"/>
        </w:rPr>
        <w:t>PET</w:t>
      </w:r>
      <w:r>
        <w:rPr>
          <w:rFonts w:hint="eastAsia"/>
        </w:rPr>
        <w:t>塑钢带、纸箱等产品。目前该地块已完成土地回收，土地所有权人为青岛市黄岛区长江路街道办事处，规划开发住宅用地，用于建设台子沟村改造工程。</w:t>
      </w:r>
    </w:p>
    <w:p w:rsidR="00146C8D" w:rsidRPr="00146C8D" w:rsidRDefault="00146C8D" w:rsidP="00146C8D">
      <w:pPr>
        <w:pStyle w:val="1"/>
        <w:spacing w:before="240" w:after="0" w:line="360" w:lineRule="auto"/>
        <w:jc w:val="left"/>
        <w:rPr>
          <w:rFonts w:ascii="宋体" w:hAnsi="宋体"/>
          <w:bCs/>
          <w:sz w:val="30"/>
          <w:szCs w:val="30"/>
          <w:lang w:bidi="en-US"/>
        </w:rPr>
      </w:pPr>
      <w:r w:rsidRPr="00146C8D">
        <w:rPr>
          <w:rFonts w:ascii="宋体" w:hAnsi="宋体" w:hint="eastAsia"/>
          <w:bCs/>
          <w:sz w:val="30"/>
          <w:szCs w:val="30"/>
          <w:lang w:bidi="en-US"/>
        </w:rPr>
        <w:t>2</w:t>
      </w:r>
      <w:r w:rsidRPr="00146C8D">
        <w:rPr>
          <w:rFonts w:ascii="宋体" w:hAnsi="宋体"/>
          <w:bCs/>
          <w:sz w:val="30"/>
          <w:szCs w:val="30"/>
          <w:lang w:bidi="en-US"/>
        </w:rPr>
        <w:t>.</w:t>
      </w:r>
      <w:r w:rsidRPr="00146C8D">
        <w:rPr>
          <w:rFonts w:ascii="宋体" w:hAnsi="宋体" w:hint="eastAsia"/>
          <w:bCs/>
          <w:sz w:val="30"/>
          <w:szCs w:val="30"/>
          <w:lang w:bidi="en-US"/>
        </w:rPr>
        <w:t>污染识别情况</w:t>
      </w:r>
    </w:p>
    <w:p w:rsidR="00146C8D" w:rsidRDefault="00146C8D" w:rsidP="00146C8D">
      <w:pPr>
        <w:ind w:firstLine="480"/>
        <w:rPr>
          <w:szCs w:val="24"/>
        </w:rPr>
      </w:pPr>
      <w:r>
        <w:rPr>
          <w:rFonts w:ascii="宋体" w:hAnsi="宋体"/>
        </w:rPr>
        <w:t>本次场调通过人员访谈、资料收集、现场踏勘等手段对项目概况进行了解分</w:t>
      </w:r>
      <w:r>
        <w:rPr>
          <w:rFonts w:ascii="宋体" w:hAnsi="宋体"/>
        </w:rPr>
        <w:lastRenderedPageBreak/>
        <w:t>析。得出污染识别结论如下：</w:t>
      </w:r>
    </w:p>
    <w:p w:rsidR="00146C8D" w:rsidRDefault="00146C8D" w:rsidP="00146C8D">
      <w:pPr>
        <w:ind w:firstLineChars="200" w:firstLine="480"/>
        <w:rPr>
          <w:bCs/>
        </w:rPr>
      </w:pPr>
      <w:r w:rsidRPr="0035157C">
        <w:rPr>
          <w:rFonts w:hint="eastAsia"/>
        </w:rPr>
        <w:t>台子沟村庄改造项目地块实为农田和企业。主要污染源为农业生产过程施肥、喷洒农药对土壤产生的影响；</w:t>
      </w:r>
      <w:r w:rsidRPr="0035157C">
        <w:rPr>
          <w:rFonts w:hint="eastAsia"/>
          <w:bCs/>
        </w:rPr>
        <w:t>青岛金克来玻璃公司是经营以钢化中空玻璃和中空玻璃二道密封胶及其辅助材料为主的外贸公司；青岛海瑞进出口公司是一家以经营包装为主的生产加工型企业，主要经营拉伸膜、胶带、打包带、</w:t>
      </w:r>
      <w:r w:rsidRPr="0035157C">
        <w:rPr>
          <w:rFonts w:hint="eastAsia"/>
          <w:bCs/>
        </w:rPr>
        <w:t>PET</w:t>
      </w:r>
      <w:r w:rsidRPr="0035157C">
        <w:rPr>
          <w:rFonts w:hint="eastAsia"/>
          <w:bCs/>
        </w:rPr>
        <w:t>塑钢带、纸箱等产品，主要污染物为固废；</w:t>
      </w:r>
      <w:r w:rsidRPr="0035157C">
        <w:rPr>
          <w:rFonts w:hint="eastAsia"/>
        </w:rPr>
        <w:t>地块南侧</w:t>
      </w:r>
      <w:r w:rsidRPr="0035157C">
        <w:rPr>
          <w:rFonts w:hint="eastAsia"/>
        </w:rPr>
        <w:t>50m</w:t>
      </w:r>
      <w:r w:rsidRPr="0035157C">
        <w:rPr>
          <w:rFonts w:hint="eastAsia"/>
        </w:rPr>
        <w:t>的兴邦烤箱厂以及地块西侧</w:t>
      </w:r>
      <w:r w:rsidRPr="0035157C">
        <w:rPr>
          <w:rFonts w:hint="eastAsia"/>
        </w:rPr>
        <w:t>30m</w:t>
      </w:r>
      <w:r w:rsidRPr="0035157C">
        <w:rPr>
          <w:rFonts w:hint="eastAsia"/>
        </w:rPr>
        <w:t>的机械加工家庭作坊</w:t>
      </w:r>
      <w:r>
        <w:rPr>
          <w:rFonts w:hint="eastAsia"/>
        </w:rPr>
        <w:t>，</w:t>
      </w:r>
      <w:r w:rsidRPr="0035157C">
        <w:rPr>
          <w:rFonts w:hint="eastAsia"/>
          <w:bCs/>
        </w:rPr>
        <w:t>主要污染物为</w:t>
      </w:r>
      <w:r>
        <w:rPr>
          <w:rFonts w:hint="eastAsia"/>
          <w:bCs/>
        </w:rPr>
        <w:t>重金属及石油烃。</w:t>
      </w:r>
    </w:p>
    <w:p w:rsidR="00146C8D" w:rsidRPr="00146C8D" w:rsidRDefault="00146C8D" w:rsidP="00146C8D">
      <w:pPr>
        <w:pStyle w:val="1"/>
        <w:spacing w:before="240" w:after="0" w:line="360" w:lineRule="auto"/>
        <w:jc w:val="left"/>
        <w:rPr>
          <w:rFonts w:ascii="宋体" w:hAnsi="宋体"/>
          <w:bCs/>
          <w:sz w:val="30"/>
          <w:szCs w:val="30"/>
          <w:lang w:bidi="en-US"/>
        </w:rPr>
      </w:pPr>
      <w:r w:rsidRPr="00146C8D">
        <w:rPr>
          <w:rFonts w:ascii="宋体" w:hAnsi="宋体" w:hint="eastAsia"/>
          <w:bCs/>
          <w:sz w:val="30"/>
          <w:szCs w:val="30"/>
          <w:lang w:bidi="en-US"/>
        </w:rPr>
        <w:t>3</w:t>
      </w:r>
      <w:r w:rsidRPr="00146C8D">
        <w:rPr>
          <w:rFonts w:ascii="宋体" w:hAnsi="宋体"/>
          <w:bCs/>
          <w:sz w:val="30"/>
          <w:szCs w:val="30"/>
          <w:lang w:bidi="en-US"/>
        </w:rPr>
        <w:t xml:space="preserve"> </w:t>
      </w:r>
      <w:r w:rsidRPr="00146C8D">
        <w:rPr>
          <w:rFonts w:ascii="宋体" w:hAnsi="宋体" w:hint="eastAsia"/>
          <w:bCs/>
          <w:sz w:val="30"/>
          <w:szCs w:val="30"/>
          <w:lang w:bidi="en-US"/>
        </w:rPr>
        <w:t>土壤污染状况调查结论</w:t>
      </w:r>
    </w:p>
    <w:p w:rsidR="00146C8D" w:rsidRDefault="00146C8D" w:rsidP="00146C8D">
      <w:pPr>
        <w:ind w:firstLineChars="200" w:firstLine="480"/>
        <w:rPr>
          <w:bCs/>
        </w:rPr>
      </w:pPr>
      <w:r>
        <w:rPr>
          <w:rFonts w:hint="eastAsia"/>
        </w:rPr>
        <w:t>依据《建设用地土壤环境调查评估技术指南》</w:t>
      </w:r>
      <w:r>
        <w:rPr>
          <w:rFonts w:hint="eastAsia"/>
        </w:rPr>
        <w:t>(</w:t>
      </w:r>
      <w:r>
        <w:rPr>
          <w:rFonts w:hint="eastAsia"/>
        </w:rPr>
        <w:t>环发</w:t>
      </w:r>
      <w:r>
        <w:rPr>
          <w:rFonts w:hint="eastAsia"/>
        </w:rPr>
        <w:t>[2017]72</w:t>
      </w:r>
      <w:r>
        <w:rPr>
          <w:rFonts w:hint="eastAsia"/>
        </w:rPr>
        <w:t>号</w:t>
      </w:r>
      <w:r>
        <w:rPr>
          <w:rFonts w:hint="eastAsia"/>
        </w:rPr>
        <w:t>)</w:t>
      </w:r>
      <w:r>
        <w:rPr>
          <w:rFonts w:hint="eastAsia"/>
        </w:rPr>
        <w:t>，</w:t>
      </w:r>
      <w:r>
        <w:rPr>
          <w:rFonts w:hint="eastAsia"/>
        </w:rPr>
        <w:t>2018</w:t>
      </w:r>
      <w:r>
        <w:rPr>
          <w:rFonts w:hint="eastAsia"/>
        </w:rPr>
        <w:t>年</w:t>
      </w:r>
      <w:r>
        <w:rPr>
          <w:rFonts w:hint="eastAsia"/>
        </w:rPr>
        <w:t>1</w:t>
      </w:r>
      <w:r>
        <w:rPr>
          <w:rFonts w:hint="eastAsia"/>
        </w:rPr>
        <w:t>月</w:t>
      </w:r>
      <w:r>
        <w:rPr>
          <w:rFonts w:hint="eastAsia"/>
        </w:rPr>
        <w:t>1</w:t>
      </w:r>
      <w:r>
        <w:rPr>
          <w:rFonts w:hint="eastAsia"/>
        </w:rPr>
        <w:t>日施行）中有关要求，原则上初步采样阶段，地块面积≤</w:t>
      </w:r>
      <w:r>
        <w:rPr>
          <w:rFonts w:hint="eastAsia"/>
        </w:rPr>
        <w:t>5000m</w:t>
      </w:r>
      <w:r>
        <w:rPr>
          <w:rFonts w:hint="eastAsia"/>
          <w:vertAlign w:val="superscript"/>
        </w:rPr>
        <w:t>2</w:t>
      </w:r>
      <w:r>
        <w:rPr>
          <w:rFonts w:hint="eastAsia"/>
        </w:rPr>
        <w:t>，土壤采样点位数不少于</w:t>
      </w:r>
      <w:r>
        <w:rPr>
          <w:rFonts w:hint="eastAsia"/>
        </w:rPr>
        <w:t>3</w:t>
      </w:r>
      <w:r>
        <w:rPr>
          <w:rFonts w:hint="eastAsia"/>
        </w:rPr>
        <w:t>个；地块面积＞</w:t>
      </w:r>
      <w:r>
        <w:rPr>
          <w:rFonts w:hint="eastAsia"/>
        </w:rPr>
        <w:t>5000m</w:t>
      </w:r>
      <w:r>
        <w:rPr>
          <w:rFonts w:hint="eastAsia"/>
          <w:vertAlign w:val="superscript"/>
        </w:rPr>
        <w:t>2</w:t>
      </w:r>
      <w:r>
        <w:rPr>
          <w:rFonts w:hint="eastAsia"/>
        </w:rPr>
        <w:t>，土壤采样点位数不少于</w:t>
      </w:r>
      <w:r>
        <w:rPr>
          <w:rFonts w:hint="eastAsia"/>
        </w:rPr>
        <w:t>6</w:t>
      </w:r>
      <w:r>
        <w:rPr>
          <w:rFonts w:hint="eastAsia"/>
        </w:rPr>
        <w:t>个，并可根据实际情况酌情增加。本项目地块总占地面积</w:t>
      </w:r>
      <w:r>
        <w:t>18628m</w:t>
      </w:r>
      <w:r>
        <w:rPr>
          <w:vertAlign w:val="superscript"/>
        </w:rPr>
        <w:t>2</w:t>
      </w:r>
      <w:r>
        <w:rPr>
          <w:rFonts w:hint="eastAsia"/>
        </w:rPr>
        <w:t>，根据《建设用地土壤环境调查评估技术指南》</w:t>
      </w:r>
      <w:r>
        <w:rPr>
          <w:rFonts w:hint="eastAsia"/>
        </w:rPr>
        <w:t>(</w:t>
      </w:r>
      <w:r>
        <w:rPr>
          <w:rFonts w:hint="eastAsia"/>
        </w:rPr>
        <w:t>环发</w:t>
      </w:r>
      <w:r>
        <w:rPr>
          <w:rFonts w:hint="eastAsia"/>
        </w:rPr>
        <w:t>[2017]72</w:t>
      </w:r>
      <w:r>
        <w:rPr>
          <w:rFonts w:hint="eastAsia"/>
        </w:rPr>
        <w:t>号</w:t>
      </w:r>
      <w:r>
        <w:rPr>
          <w:rFonts w:hint="eastAsia"/>
        </w:rPr>
        <w:t>)</w:t>
      </w:r>
      <w:r>
        <w:rPr>
          <w:rFonts w:hint="eastAsia"/>
        </w:rPr>
        <w:t>、《建设用地土壤污染状况调查技术导则》</w:t>
      </w:r>
      <w:r>
        <w:rPr>
          <w:rFonts w:hint="eastAsia"/>
        </w:rPr>
        <w:t>(HJ25.1-201</w:t>
      </w:r>
      <w:r>
        <w:t>9</w:t>
      </w:r>
      <w:r>
        <w:rPr>
          <w:rFonts w:hint="eastAsia"/>
        </w:rPr>
        <w:t>)</w:t>
      </w:r>
      <w:r>
        <w:rPr>
          <w:rFonts w:hint="eastAsia"/>
        </w:rPr>
        <w:t>和《场地环境监测技术导则建设用地土壤污染风险管控和修复监测技术导则》</w:t>
      </w:r>
      <w:r>
        <w:rPr>
          <w:rFonts w:hint="eastAsia"/>
        </w:rPr>
        <w:t>(HJ25.2-201</w:t>
      </w:r>
      <w:r>
        <w:t>9</w:t>
      </w:r>
      <w:r>
        <w:rPr>
          <w:rFonts w:hint="eastAsia"/>
        </w:rPr>
        <w:t>)</w:t>
      </w:r>
      <w:r>
        <w:rPr>
          <w:rFonts w:hint="eastAsia"/>
        </w:rPr>
        <w:t>等文件要求，采用</w:t>
      </w:r>
      <w:r>
        <w:rPr>
          <w:rFonts w:hint="eastAsia"/>
        </w:rPr>
        <w:t>80mx80m</w:t>
      </w:r>
      <w:r>
        <w:rPr>
          <w:rFonts w:hint="eastAsia"/>
        </w:rPr>
        <w:t>的网格进行系统随机布点结合专业判断布点法进行监测点位布设：共设置</w:t>
      </w:r>
      <w:r>
        <w:t>6</w:t>
      </w:r>
      <w:r>
        <w:rPr>
          <w:rFonts w:hint="eastAsia"/>
        </w:rPr>
        <w:t>个土壤监测点位（样品采集为柱状采样，另外共布设</w:t>
      </w:r>
      <w:r>
        <w:t>3</w:t>
      </w:r>
      <w:r>
        <w:rPr>
          <w:rFonts w:hint="eastAsia"/>
        </w:rPr>
        <w:t>个地下水监测井。初步调查共采集土壤样品</w:t>
      </w:r>
      <w:r>
        <w:t>28</w:t>
      </w:r>
      <w:r>
        <w:rPr>
          <w:rFonts w:hint="eastAsia"/>
        </w:rPr>
        <w:t>个（包含</w:t>
      </w:r>
      <w:r>
        <w:rPr>
          <w:rFonts w:hint="eastAsia"/>
        </w:rPr>
        <w:t>2</w:t>
      </w:r>
      <w:r>
        <w:rPr>
          <w:rFonts w:hint="eastAsia"/>
        </w:rPr>
        <w:t>个全程序空白样品、</w:t>
      </w:r>
      <w:r>
        <w:rPr>
          <w:rFonts w:hint="eastAsia"/>
        </w:rPr>
        <w:t>2</w:t>
      </w:r>
      <w:r>
        <w:rPr>
          <w:rFonts w:hint="eastAsia"/>
        </w:rPr>
        <w:t>个运输空白和</w:t>
      </w:r>
      <w:r>
        <w:rPr>
          <w:rFonts w:hint="eastAsia"/>
        </w:rPr>
        <w:t>3</w:t>
      </w:r>
      <w:r>
        <w:rPr>
          <w:rFonts w:hint="eastAsia"/>
        </w:rPr>
        <w:t>个现场平行样），监测因子包括</w:t>
      </w:r>
      <w:r>
        <w:rPr>
          <w:rFonts w:hint="eastAsia"/>
        </w:rPr>
        <w:t>pH</w:t>
      </w:r>
      <w:r>
        <w:rPr>
          <w:rFonts w:hint="eastAsia"/>
        </w:rPr>
        <w:t>值、有机质含量、阳离子交换量、石油烃、重金属</w:t>
      </w:r>
      <w:r>
        <w:rPr>
          <w:rFonts w:hint="eastAsia"/>
        </w:rPr>
        <w:t>7</w:t>
      </w:r>
      <w:r>
        <w:rPr>
          <w:rFonts w:hint="eastAsia"/>
        </w:rPr>
        <w:t>项（砷、镉、铜、铅、汞、镍、铬（六价））、挥发性有机物</w:t>
      </w:r>
      <w:r>
        <w:rPr>
          <w:rFonts w:hint="eastAsia"/>
        </w:rPr>
        <w:t>27</w:t>
      </w:r>
      <w:r>
        <w:rPr>
          <w:rFonts w:hint="eastAsia"/>
        </w:rPr>
        <w:t>项、半挥发性有</w:t>
      </w:r>
      <w:bookmarkStart w:id="1" w:name="_GoBack"/>
      <w:bookmarkEnd w:id="1"/>
      <w:r>
        <w:rPr>
          <w:rFonts w:hint="eastAsia"/>
        </w:rPr>
        <w:t>机物</w:t>
      </w:r>
      <w:r>
        <w:rPr>
          <w:rFonts w:hint="eastAsia"/>
        </w:rPr>
        <w:t>11</w:t>
      </w:r>
      <w:r>
        <w:rPr>
          <w:rFonts w:hint="eastAsia"/>
        </w:rPr>
        <w:t>项和有机农药类</w:t>
      </w:r>
      <w:r>
        <w:rPr>
          <w:rFonts w:hint="eastAsia"/>
        </w:rPr>
        <w:t>1</w:t>
      </w:r>
      <w:r>
        <w:t>4</w:t>
      </w:r>
      <w:r>
        <w:rPr>
          <w:rFonts w:hint="eastAsia"/>
        </w:rPr>
        <w:t>项；采集地下水样品</w:t>
      </w:r>
      <w:r>
        <w:t>3</w:t>
      </w:r>
      <w:r>
        <w:rPr>
          <w:rFonts w:hint="eastAsia"/>
        </w:rPr>
        <w:t>个（包括</w:t>
      </w:r>
      <w:r>
        <w:rPr>
          <w:rFonts w:hint="eastAsia"/>
        </w:rPr>
        <w:t>1</w:t>
      </w:r>
      <w:r>
        <w:rPr>
          <w:rFonts w:hint="eastAsia"/>
        </w:rPr>
        <w:t>个全程序空白样和</w:t>
      </w:r>
      <w:r>
        <w:rPr>
          <w:rFonts w:hint="eastAsia"/>
        </w:rPr>
        <w:t>1</w:t>
      </w:r>
      <w:r>
        <w:rPr>
          <w:rFonts w:hint="eastAsia"/>
        </w:rPr>
        <w:t>个现场平行样），监测因子参照《建设用地土壤污染风险管控标准》（</w:t>
      </w:r>
      <w:r>
        <w:rPr>
          <w:rFonts w:hint="eastAsia"/>
        </w:rPr>
        <w:t>GB36600-2018</w:t>
      </w:r>
      <w:r>
        <w:rPr>
          <w:rFonts w:hint="eastAsia"/>
        </w:rPr>
        <w:t>）表</w:t>
      </w:r>
      <w:r>
        <w:rPr>
          <w:rFonts w:hint="eastAsia"/>
        </w:rPr>
        <w:t>1</w:t>
      </w:r>
      <w:r>
        <w:rPr>
          <w:rFonts w:hint="eastAsia"/>
        </w:rPr>
        <w:t>中的基本项目</w:t>
      </w:r>
      <w:r>
        <w:rPr>
          <w:rFonts w:hint="eastAsia"/>
        </w:rPr>
        <w:t>45</w:t>
      </w:r>
      <w:r>
        <w:rPr>
          <w:rFonts w:hint="eastAsia"/>
        </w:rPr>
        <w:t>项和《地下水质量标准</w:t>
      </w:r>
      <w:r>
        <w:rPr>
          <w:rFonts w:hint="eastAsia"/>
        </w:rPr>
        <w:t>GB/T14848-2017</w:t>
      </w:r>
      <w:r>
        <w:rPr>
          <w:rFonts w:hint="eastAsia"/>
        </w:rPr>
        <w:t>》表</w:t>
      </w:r>
      <w:r>
        <w:rPr>
          <w:rFonts w:hint="eastAsia"/>
        </w:rPr>
        <w:t>1</w:t>
      </w:r>
      <w:r>
        <w:rPr>
          <w:rFonts w:hint="eastAsia"/>
        </w:rPr>
        <w:t>中</w:t>
      </w:r>
      <w:r>
        <w:rPr>
          <w:rFonts w:hint="eastAsia"/>
        </w:rPr>
        <w:t>pH</w:t>
      </w:r>
      <w:r>
        <w:rPr>
          <w:rFonts w:hint="eastAsia"/>
        </w:rPr>
        <w:t>、氨氮、氟化物、硫化物、铝、锰、钠、氰化物、色度、铁、硒、锌、臭和味、浑浊度、肉眼可见物、总硬度、溶解性总固体、硫酸盐、氟化物、挥发性酚类、耗氧量、硝酸盐（以</w:t>
      </w:r>
      <w:r>
        <w:rPr>
          <w:rFonts w:hint="eastAsia"/>
        </w:rPr>
        <w:t>N</w:t>
      </w:r>
      <w:r>
        <w:rPr>
          <w:rFonts w:hint="eastAsia"/>
        </w:rPr>
        <w:t>计）、亚硝酸盐（以</w:t>
      </w:r>
      <w:r>
        <w:rPr>
          <w:rFonts w:hint="eastAsia"/>
        </w:rPr>
        <w:t>N</w:t>
      </w:r>
      <w:r>
        <w:rPr>
          <w:rFonts w:hint="eastAsia"/>
        </w:rPr>
        <w:t>计）、碘化物、总大肠菌群、石油类、阴离子表面活性剂、总α放射性、总β放射性、菌落总数以及表</w:t>
      </w:r>
      <w:r>
        <w:rPr>
          <w:rFonts w:hint="eastAsia"/>
        </w:rPr>
        <w:t>2</w:t>
      </w:r>
      <w:r>
        <w:rPr>
          <w:rFonts w:hint="eastAsia"/>
        </w:rPr>
        <w:t>毒理学指标：</w:t>
      </w:r>
      <w:r>
        <w:rPr>
          <w:rFonts w:hint="eastAsia"/>
          <w:bCs/>
        </w:rPr>
        <w:t>敌敌畏、乐果、七氯、六六六总量、γ</w:t>
      </w:r>
      <w:r>
        <w:rPr>
          <w:rFonts w:hint="eastAsia"/>
          <w:bCs/>
        </w:rPr>
        <w:t>-</w:t>
      </w:r>
      <w:r>
        <w:rPr>
          <w:rFonts w:hint="eastAsia"/>
          <w:bCs/>
        </w:rPr>
        <w:t>六六六、六氯苯和石油类</w:t>
      </w:r>
      <w:r>
        <w:rPr>
          <w:rFonts w:hint="eastAsia"/>
        </w:rPr>
        <w:t>。</w:t>
      </w:r>
    </w:p>
    <w:p w:rsidR="00146C8D" w:rsidRPr="00146C8D" w:rsidRDefault="00146C8D" w:rsidP="00146C8D">
      <w:pPr>
        <w:pStyle w:val="2"/>
        <w:spacing w:before="156" w:after="156"/>
        <w:rPr>
          <w:rFonts w:ascii="宋体" w:eastAsia="宋体" w:hAnsi="宋体"/>
        </w:rPr>
      </w:pPr>
      <w:r w:rsidRPr="00146C8D">
        <w:rPr>
          <w:rFonts w:ascii="宋体" w:eastAsia="宋体" w:hAnsi="宋体" w:hint="eastAsia"/>
        </w:rPr>
        <w:lastRenderedPageBreak/>
        <w:t>3.1</w:t>
      </w:r>
      <w:r w:rsidRPr="00146C8D">
        <w:rPr>
          <w:rFonts w:ascii="宋体" w:eastAsia="宋体" w:hAnsi="宋体"/>
        </w:rPr>
        <w:t xml:space="preserve"> </w:t>
      </w:r>
      <w:r w:rsidRPr="00146C8D">
        <w:rPr>
          <w:rFonts w:ascii="宋体" w:eastAsia="宋体" w:hAnsi="宋体" w:hint="eastAsia"/>
        </w:rPr>
        <w:t>土壤</w:t>
      </w:r>
      <w:r w:rsidRPr="00146C8D">
        <w:rPr>
          <w:rFonts w:ascii="宋体" w:eastAsia="宋体" w:hAnsi="宋体"/>
        </w:rPr>
        <w:t>检测结果</w:t>
      </w:r>
    </w:p>
    <w:bookmarkEnd w:id="0"/>
    <w:p w:rsidR="00D458EC" w:rsidRDefault="00F33E29">
      <w:pPr>
        <w:ind w:firstLineChars="200" w:firstLine="480"/>
      </w:pPr>
      <w:r>
        <w:rPr>
          <w:rFonts w:hint="eastAsia"/>
        </w:rPr>
        <w:t>土壤质量依据《土壤环境质量建设用地土壤污染风险管控标准（试行）》（</w:t>
      </w:r>
      <w:r>
        <w:rPr>
          <w:rFonts w:hint="eastAsia"/>
        </w:rPr>
        <w:t>GB36600-2018</w:t>
      </w:r>
      <w:r>
        <w:rPr>
          <w:rFonts w:hint="eastAsia"/>
        </w:rPr>
        <w:t>）中的第一类用地筛选值进行评估；地下水质量依据《地下水质量标准</w:t>
      </w:r>
      <w:r>
        <w:rPr>
          <w:rFonts w:hint="eastAsia"/>
        </w:rPr>
        <w:t>GB/T</w:t>
      </w:r>
      <w:r>
        <w:rPr>
          <w:rFonts w:hint="eastAsia"/>
        </w:rPr>
        <w:t>14848-2017</w:t>
      </w:r>
      <w:r>
        <w:rPr>
          <w:rFonts w:hint="eastAsia"/>
        </w:rPr>
        <w:t>》中的</w:t>
      </w:r>
      <w:r>
        <w:t>Ⅲ</w:t>
      </w:r>
      <w:r>
        <w:rPr>
          <w:rFonts w:hint="eastAsia"/>
        </w:rPr>
        <w:t>类标准进行评估。</w:t>
      </w:r>
    </w:p>
    <w:p w:rsidR="00D458EC" w:rsidRDefault="00F33E29">
      <w:pPr>
        <w:spacing w:line="336" w:lineRule="auto"/>
        <w:ind w:right="120" w:firstLineChars="200" w:firstLine="480"/>
      </w:pPr>
      <w:r>
        <w:t>监测结果表明：</w:t>
      </w:r>
      <w:r>
        <w:rPr>
          <w:rFonts w:hint="eastAsia"/>
        </w:rPr>
        <w:t>调查地块内土壤各监测点位中，</w:t>
      </w:r>
      <w:r>
        <w:t>6</w:t>
      </w:r>
      <w:r>
        <w:rPr>
          <w:rFonts w:hint="eastAsia"/>
        </w:rPr>
        <w:t>种重金属（铜、镍、铅、镉、砷、汞）均有检出；</w:t>
      </w:r>
      <w:r>
        <w:t>4</w:t>
      </w:r>
      <w:r>
        <w:rPr>
          <w:rFonts w:hint="eastAsia"/>
        </w:rPr>
        <w:t>种挥发性有机物苯、间二甲苯、对二甲苯、甲苯部分有检出；半挥发性有机物均未检出，所有检出浓度均未超《土壤环境质量</w:t>
      </w:r>
      <w:r>
        <w:rPr>
          <w:rFonts w:hint="eastAsia"/>
        </w:rPr>
        <w:t xml:space="preserve"> </w:t>
      </w:r>
      <w:r>
        <w:rPr>
          <w:rFonts w:hint="eastAsia"/>
        </w:rPr>
        <w:t>建设用地土壤污染风险管控标准（试行）》（</w:t>
      </w:r>
      <w:r>
        <w:t>GB36600-2018</w:t>
      </w:r>
      <w:r>
        <w:rPr>
          <w:rFonts w:hint="eastAsia"/>
        </w:rPr>
        <w:t>）中第一类用地筛选值</w:t>
      </w:r>
      <w:r>
        <w:t>。</w:t>
      </w:r>
    </w:p>
    <w:p w:rsidR="00146C8D" w:rsidRPr="00146C8D" w:rsidRDefault="00146C8D" w:rsidP="00146C8D">
      <w:pPr>
        <w:pStyle w:val="2"/>
        <w:spacing w:before="156" w:after="156"/>
        <w:rPr>
          <w:rFonts w:ascii="宋体" w:eastAsia="宋体" w:hAnsi="宋体"/>
        </w:rPr>
      </w:pPr>
      <w:r w:rsidRPr="00146C8D">
        <w:rPr>
          <w:rFonts w:ascii="宋体" w:eastAsia="宋体" w:hAnsi="宋体" w:hint="eastAsia"/>
        </w:rPr>
        <w:t>3.2</w:t>
      </w:r>
      <w:r w:rsidRPr="00146C8D">
        <w:rPr>
          <w:rFonts w:ascii="宋体" w:eastAsia="宋体" w:hAnsi="宋体"/>
        </w:rPr>
        <w:t xml:space="preserve"> </w:t>
      </w:r>
      <w:r w:rsidRPr="00146C8D">
        <w:rPr>
          <w:rFonts w:ascii="宋体" w:eastAsia="宋体" w:hAnsi="宋体" w:hint="eastAsia"/>
        </w:rPr>
        <w:t>地下水</w:t>
      </w:r>
      <w:r w:rsidRPr="00146C8D">
        <w:rPr>
          <w:rFonts w:ascii="宋体" w:eastAsia="宋体" w:hAnsi="宋体"/>
        </w:rPr>
        <w:t>检测结果</w:t>
      </w:r>
    </w:p>
    <w:p w:rsidR="00D458EC" w:rsidRDefault="00F33E29">
      <w:pPr>
        <w:spacing w:line="336" w:lineRule="auto"/>
        <w:ind w:right="120" w:firstLineChars="200" w:firstLine="480"/>
      </w:pPr>
      <w:r>
        <w:rPr>
          <w:rFonts w:hint="eastAsia"/>
        </w:rPr>
        <w:t>地下水监测结果表明，地下水</w:t>
      </w:r>
      <w:r>
        <w:rPr>
          <w:rFonts w:hint="eastAsia"/>
        </w:rPr>
        <w:t>pH</w:t>
      </w:r>
      <w:r>
        <w:rPr>
          <w:rFonts w:hint="eastAsia"/>
        </w:rPr>
        <w:t>值为</w:t>
      </w:r>
      <w:r>
        <w:rPr>
          <w:rFonts w:hint="eastAsia"/>
        </w:rPr>
        <w:t>7.</w:t>
      </w:r>
      <w:r>
        <w:t>08</w:t>
      </w:r>
      <w:r>
        <w:rPr>
          <w:rFonts w:hint="eastAsia"/>
        </w:rPr>
        <w:t>，处于《地下水质量标准》</w:t>
      </w:r>
      <w:r>
        <w:rPr>
          <w:rFonts w:hint="eastAsia"/>
        </w:rPr>
        <w:t>GB/T14848-2017)</w:t>
      </w:r>
      <w:r>
        <w:rPr>
          <w:rFonts w:hint="eastAsia"/>
        </w:rPr>
        <w:t>中的Ⅲ类标准</w:t>
      </w:r>
      <w:r>
        <w:rPr>
          <w:rFonts w:hint="eastAsia"/>
        </w:rPr>
        <w:t>6.5~8.5</w:t>
      </w:r>
      <w:r>
        <w:rPr>
          <w:rFonts w:hint="eastAsia"/>
        </w:rPr>
        <w:t>范围内。</w:t>
      </w:r>
      <w:r>
        <w:t>4</w:t>
      </w:r>
      <w:r>
        <w:rPr>
          <w:rFonts w:hint="eastAsia"/>
        </w:rPr>
        <w:t>种重金属（铬（六价）、铜、汞、镍）均未检出，</w:t>
      </w:r>
      <w:r>
        <w:t>砷检出为</w:t>
      </w:r>
      <w:r>
        <w:t>1μg/L</w:t>
      </w:r>
      <w:r>
        <w:t>，镉检出为</w:t>
      </w:r>
      <w:r>
        <w:t>0.66μg/L</w:t>
      </w:r>
      <w:r>
        <w:t>，铅检出为</w:t>
      </w:r>
      <w:r>
        <w:t>3.6μg/L</w:t>
      </w:r>
      <w:r>
        <w:rPr>
          <w:rFonts w:hint="eastAsia"/>
        </w:rPr>
        <w:t>，检出浓度均低于《地下水质量标准》</w:t>
      </w:r>
      <w:r>
        <w:rPr>
          <w:rFonts w:hint="eastAsia"/>
        </w:rPr>
        <w:t>(GB/T14848-2017)</w:t>
      </w:r>
      <w:r>
        <w:rPr>
          <w:rFonts w:hint="eastAsia"/>
        </w:rPr>
        <w:t>中的</w:t>
      </w:r>
      <w:r>
        <w:t>Ⅲ</w:t>
      </w:r>
      <w:r>
        <w:rPr>
          <w:rFonts w:hint="eastAsia"/>
        </w:rPr>
        <w:t>类标准要求。</w:t>
      </w:r>
    </w:p>
    <w:p w:rsidR="00146C8D" w:rsidRPr="00146C8D" w:rsidRDefault="00146C8D" w:rsidP="00146C8D">
      <w:pPr>
        <w:pStyle w:val="2"/>
        <w:spacing w:before="156" w:after="156"/>
        <w:rPr>
          <w:rFonts w:ascii="宋体" w:eastAsia="宋体" w:hAnsi="宋体"/>
        </w:rPr>
      </w:pPr>
      <w:r w:rsidRPr="00146C8D">
        <w:rPr>
          <w:rFonts w:ascii="宋体" w:eastAsia="宋体" w:hAnsi="宋体" w:hint="eastAsia"/>
        </w:rPr>
        <w:t>3.3</w:t>
      </w:r>
      <w:r w:rsidRPr="00146C8D">
        <w:rPr>
          <w:rFonts w:ascii="宋体" w:eastAsia="宋体" w:hAnsi="宋体"/>
        </w:rPr>
        <w:t xml:space="preserve"> </w:t>
      </w:r>
      <w:r w:rsidRPr="00146C8D">
        <w:rPr>
          <w:rFonts w:ascii="宋体" w:eastAsia="宋体" w:hAnsi="宋体" w:hint="eastAsia"/>
        </w:rPr>
        <w:t>土壤污染状况初步</w:t>
      </w:r>
      <w:r w:rsidRPr="00146C8D">
        <w:rPr>
          <w:rFonts w:ascii="宋体" w:eastAsia="宋体" w:hAnsi="宋体"/>
        </w:rPr>
        <w:t>调查结论</w:t>
      </w:r>
    </w:p>
    <w:p w:rsidR="00D458EC" w:rsidRDefault="00F33E29">
      <w:pPr>
        <w:spacing w:line="336" w:lineRule="auto"/>
        <w:ind w:right="120" w:firstLineChars="200" w:firstLine="480"/>
      </w:pPr>
      <w:r>
        <w:rPr>
          <w:rFonts w:hint="eastAsia"/>
        </w:rPr>
        <w:t>土壤检出因子检出浓度均未超《土壤环境质量</w:t>
      </w:r>
      <w:r>
        <w:rPr>
          <w:rFonts w:hint="eastAsia"/>
        </w:rPr>
        <w:t xml:space="preserve"> </w:t>
      </w:r>
      <w:r>
        <w:rPr>
          <w:rFonts w:hint="eastAsia"/>
        </w:rPr>
        <w:t>建设用地土壤污染风险管控标准（试行）》（</w:t>
      </w:r>
      <w:r>
        <w:t>GB36600-2018</w:t>
      </w:r>
      <w:r>
        <w:rPr>
          <w:rFonts w:hint="eastAsia"/>
        </w:rPr>
        <w:t>）中第一类用地筛选值；地下水检出因子检出浓度均低于《地下水质量标准》</w:t>
      </w:r>
      <w:r>
        <w:rPr>
          <w:rFonts w:hint="eastAsia"/>
        </w:rPr>
        <w:t>(GB/T14848-2017)</w:t>
      </w:r>
      <w:r>
        <w:rPr>
          <w:rFonts w:hint="eastAsia"/>
        </w:rPr>
        <w:t>中的</w:t>
      </w:r>
      <w:r>
        <w:t>Ⅲ</w:t>
      </w:r>
      <w:r>
        <w:rPr>
          <w:rFonts w:hint="eastAsia"/>
        </w:rPr>
        <w:t>类标准要求。因此，该场地不属于污染地块，无需开展后续详细调查和风险评估工作。</w:t>
      </w:r>
    </w:p>
    <w:p w:rsidR="00146C8D" w:rsidRPr="00146C8D" w:rsidRDefault="00146C8D" w:rsidP="00146C8D">
      <w:pPr>
        <w:pStyle w:val="1"/>
        <w:spacing w:before="240" w:after="0" w:line="360" w:lineRule="auto"/>
        <w:jc w:val="left"/>
        <w:rPr>
          <w:rFonts w:ascii="宋体" w:hAnsi="宋体"/>
          <w:bCs/>
          <w:sz w:val="30"/>
          <w:szCs w:val="30"/>
          <w:lang w:bidi="en-US"/>
        </w:rPr>
      </w:pPr>
      <w:bookmarkStart w:id="2" w:name="_Toc7600"/>
      <w:bookmarkStart w:id="3" w:name="_Toc36573423"/>
      <w:r w:rsidRPr="00146C8D">
        <w:rPr>
          <w:rFonts w:ascii="宋体" w:hAnsi="宋体" w:hint="eastAsia"/>
          <w:bCs/>
          <w:sz w:val="30"/>
          <w:szCs w:val="30"/>
          <w:lang w:bidi="en-US"/>
        </w:rPr>
        <w:t>4</w:t>
      </w:r>
      <w:r w:rsidRPr="00146C8D">
        <w:rPr>
          <w:rFonts w:ascii="宋体" w:hAnsi="宋体"/>
          <w:bCs/>
          <w:sz w:val="30"/>
          <w:szCs w:val="30"/>
          <w:lang w:bidi="en-US"/>
        </w:rPr>
        <w:t>.</w:t>
      </w:r>
      <w:r w:rsidRPr="00146C8D">
        <w:rPr>
          <w:rFonts w:ascii="宋体" w:hAnsi="宋体"/>
          <w:bCs/>
          <w:sz w:val="30"/>
          <w:szCs w:val="30"/>
          <w:lang w:bidi="en-US"/>
        </w:rPr>
        <w:t>建议</w:t>
      </w:r>
      <w:bookmarkEnd w:id="2"/>
      <w:bookmarkEnd w:id="3"/>
      <w:r w:rsidRPr="00146C8D">
        <w:rPr>
          <w:rFonts w:ascii="宋体" w:hAnsi="宋体"/>
          <w:bCs/>
          <w:sz w:val="30"/>
          <w:szCs w:val="30"/>
          <w:lang w:bidi="en-US"/>
        </w:rPr>
        <w:t xml:space="preserve"> </w:t>
      </w:r>
    </w:p>
    <w:p w:rsidR="00146C8D" w:rsidRPr="0035157C" w:rsidRDefault="00146C8D" w:rsidP="00146C8D">
      <w:pPr>
        <w:spacing w:before="17" w:line="337" w:lineRule="auto"/>
        <w:ind w:right="120" w:firstLine="480"/>
      </w:pPr>
      <w:r w:rsidRPr="0035157C">
        <w:t>1</w:t>
      </w:r>
      <w:r w:rsidRPr="0035157C">
        <w:t>、在该场地生产活动过程中，应切实履行实施污染防治和保护环境的职责，执行有关环境保护法律、法规、环境保护标准的要求，预防场地环境污染，维持场地土壤和地下水环境质量良好水平。</w:t>
      </w:r>
    </w:p>
    <w:p w:rsidR="00146C8D" w:rsidRPr="0035157C" w:rsidRDefault="00146C8D" w:rsidP="00146C8D">
      <w:pPr>
        <w:spacing w:before="17" w:line="337" w:lineRule="auto"/>
        <w:ind w:right="120" w:firstLine="480"/>
      </w:pPr>
      <w:r w:rsidRPr="0035157C">
        <w:t>2</w:t>
      </w:r>
      <w:r w:rsidRPr="0035157C">
        <w:t>、</w:t>
      </w:r>
      <w:r w:rsidRPr="0035157C">
        <w:rPr>
          <w:rFonts w:hint="eastAsia"/>
        </w:rPr>
        <w:t>建设单位需要在施工地块内合理安置生活垃圾临时堆放点，并做好雨水冲刷和残液地下水渗漏的保护措施，生活来及定期交由环卫部门清理，加强对地块土壤及地下水的保护</w:t>
      </w:r>
      <w:r w:rsidRPr="0035157C">
        <w:t>。</w:t>
      </w:r>
    </w:p>
    <w:p w:rsidR="00D458EC" w:rsidRPr="00146C8D" w:rsidRDefault="00D458EC"/>
    <w:sectPr w:rsidR="00D458EC" w:rsidRPr="00146C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3E29" w:rsidRDefault="00F33E29" w:rsidP="00146C8D">
      <w:pPr>
        <w:spacing w:line="240" w:lineRule="auto"/>
      </w:pPr>
      <w:r>
        <w:separator/>
      </w:r>
    </w:p>
  </w:endnote>
  <w:endnote w:type="continuationSeparator" w:id="0">
    <w:p w:rsidR="00F33E29" w:rsidRDefault="00F33E29" w:rsidP="00146C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3E29" w:rsidRDefault="00F33E29" w:rsidP="00146C8D">
      <w:pPr>
        <w:spacing w:line="240" w:lineRule="auto"/>
      </w:pPr>
      <w:r>
        <w:separator/>
      </w:r>
    </w:p>
  </w:footnote>
  <w:footnote w:type="continuationSeparator" w:id="0">
    <w:p w:rsidR="00F33E29" w:rsidRDefault="00F33E29" w:rsidP="00146C8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703F03"/>
    <w:multiLevelType w:val="multilevel"/>
    <w:tmpl w:val="2E703F03"/>
    <w:lvl w:ilvl="0">
      <w:start w:val="1"/>
      <w:numFmt w:val="decimal"/>
      <w:suff w:val="space"/>
      <w:lvlText w:val="%1"/>
      <w:lvlJc w:val="left"/>
      <w:pPr>
        <w:ind w:left="3969" w:firstLine="0"/>
      </w:pPr>
      <w:rPr>
        <w:rFonts w:ascii="Times New Roman" w:eastAsia="黑体" w:hAnsi="Times New Roman" w:hint="default"/>
        <w:b w:val="0"/>
        <w:i w:val="0"/>
        <w:sz w:val="32"/>
      </w:rPr>
    </w:lvl>
    <w:lvl w:ilvl="1">
      <w:start w:val="1"/>
      <w:numFmt w:val="decimal"/>
      <w:suff w:val="space"/>
      <w:lvlText w:val="%1.%2"/>
      <w:lvlJc w:val="left"/>
      <w:pPr>
        <w:ind w:left="1276" w:firstLine="0"/>
      </w:pPr>
      <w:rPr>
        <w:rFonts w:ascii="Times New Roman" w:hAnsi="Times New Roman" w:cs="Times New Roman" w:hint="eastAsia"/>
        <w:b w:val="0"/>
        <w:bCs w:val="0"/>
        <w:i w:val="0"/>
        <w:iCs w:val="0"/>
        <w:caps w:val="0"/>
        <w:smallCaps w:val="0"/>
        <w:strike w:val="0"/>
        <w:dstrike w:val="0"/>
        <w:snapToGrid w:val="0"/>
        <w:vanish w:val="0"/>
        <w:color w:val="auto"/>
        <w:spacing w:val="0"/>
        <w:w w:val="0"/>
        <w:kern w:val="0"/>
        <w:position w:val="0"/>
        <w:szCs w:val="0"/>
        <w:u w:val="none"/>
        <w:vertAlign w:val="baseline"/>
      </w:rPr>
    </w:lvl>
    <w:lvl w:ilvl="2">
      <w:start w:val="1"/>
      <w:numFmt w:val="decimal"/>
      <w:suff w:val="space"/>
      <w:lvlText w:val="%1.%2.%3"/>
      <w:lvlJc w:val="left"/>
      <w:pPr>
        <w:ind w:left="0" w:firstLine="0"/>
      </w:pPr>
      <w:rPr>
        <w:color w:val="auto"/>
      </w:rPr>
    </w:lvl>
    <w:lvl w:ilvl="3">
      <w:start w:val="1"/>
      <w:numFmt w:val="decimal"/>
      <w:suff w:val="space"/>
      <w:lvlText w:val="%1.%2.%3.%4"/>
      <w:lvlJc w:val="left"/>
      <w:pPr>
        <w:ind w:left="0" w:firstLine="0"/>
      </w:pPr>
      <w:rPr>
        <w:rFonts w:ascii="Times New Roman" w:eastAsia="黑体" w:hAnsi="Times New Roman" w:hint="default"/>
        <w:b w:val="0"/>
        <w:i w:val="0"/>
        <w:sz w:val="24"/>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98A"/>
    <w:rsid w:val="000B006E"/>
    <w:rsid w:val="00146C8D"/>
    <w:rsid w:val="001C6057"/>
    <w:rsid w:val="008E398A"/>
    <w:rsid w:val="008E7C7F"/>
    <w:rsid w:val="009A042C"/>
    <w:rsid w:val="00C00D5A"/>
    <w:rsid w:val="00C97193"/>
    <w:rsid w:val="00CB7CD9"/>
    <w:rsid w:val="00D458EC"/>
    <w:rsid w:val="00E8397F"/>
    <w:rsid w:val="00F33E29"/>
    <w:rsid w:val="00FA0CEE"/>
    <w:rsid w:val="00FC0697"/>
    <w:rsid w:val="4A3028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383E2A"/>
  <w15:docId w15:val="{DE1049BD-F06E-4504-BA98-BA5B4FD71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snapToGrid w:val="0"/>
      <w:spacing w:line="360" w:lineRule="auto"/>
      <w:jc w:val="both"/>
    </w:pPr>
    <w:rPr>
      <w:kern w:val="2"/>
      <w:sz w:val="24"/>
      <w:szCs w:val="22"/>
    </w:rPr>
  </w:style>
  <w:style w:type="paragraph" w:styleId="1">
    <w:name w:val="heading 1"/>
    <w:basedOn w:val="a"/>
    <w:next w:val="a"/>
    <w:link w:val="1Char"/>
    <w:qFormat/>
    <w:pPr>
      <w:keepNext/>
      <w:keepLines/>
      <w:spacing w:before="340" w:after="330" w:line="576" w:lineRule="auto"/>
      <w:outlineLvl w:val="0"/>
    </w:pPr>
    <w:rPr>
      <w:b/>
      <w:kern w:val="44"/>
      <w:sz w:val="44"/>
    </w:rPr>
  </w:style>
  <w:style w:type="paragraph" w:styleId="2">
    <w:name w:val="heading 2"/>
    <w:basedOn w:val="a"/>
    <w:next w:val="a"/>
    <w:link w:val="21"/>
    <w:qFormat/>
    <w:pPr>
      <w:keepNext/>
      <w:keepLines/>
      <w:spacing w:beforeLines="50" w:before="50" w:afterLines="50" w:after="50"/>
      <w:jc w:val="left"/>
      <w:outlineLvl w:val="1"/>
    </w:pPr>
    <w:rPr>
      <w:rFonts w:eastAsia="黑体"/>
      <w:b/>
      <w:bCs/>
      <w:kern w:val="0"/>
      <w:sz w:val="28"/>
      <w:szCs w:val="32"/>
    </w:rPr>
  </w:style>
  <w:style w:type="paragraph" w:styleId="3">
    <w:name w:val="heading 3"/>
    <w:basedOn w:val="a"/>
    <w:next w:val="a"/>
    <w:link w:val="31"/>
    <w:qFormat/>
    <w:pPr>
      <w:keepNext/>
      <w:keepLines/>
      <w:jc w:val="left"/>
      <w:outlineLvl w:val="2"/>
    </w:pPr>
    <w:rPr>
      <w:rFonts w:eastAsia="黑体"/>
      <w:bCs/>
      <w:kern w:val="0"/>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uiPriority w:val="9"/>
    <w:semiHidden/>
    <w:qFormat/>
    <w:rPr>
      <w:rFonts w:asciiTheme="majorHAnsi" w:eastAsiaTheme="majorEastAsia" w:hAnsiTheme="majorHAnsi" w:cstheme="majorBidi"/>
      <w:b/>
      <w:bCs/>
      <w:sz w:val="32"/>
      <w:szCs w:val="32"/>
    </w:rPr>
  </w:style>
  <w:style w:type="character" w:customStyle="1" w:styleId="30">
    <w:name w:val="标题 3 字符"/>
    <w:basedOn w:val="a0"/>
    <w:uiPriority w:val="9"/>
    <w:semiHidden/>
    <w:qFormat/>
    <w:rPr>
      <w:rFonts w:ascii="Times New Roman" w:eastAsia="宋体" w:hAnsi="Times New Roman" w:cs="Times New Roman"/>
      <w:b/>
      <w:bCs/>
      <w:sz w:val="32"/>
      <w:szCs w:val="32"/>
    </w:rPr>
  </w:style>
  <w:style w:type="character" w:customStyle="1" w:styleId="1Char0">
    <w:name w:val="报告书正文样式1 Char"/>
    <w:link w:val="10"/>
    <w:qFormat/>
    <w:rPr>
      <w:rFonts w:ascii="Arial" w:hAnsi="Arial" w:cs="Arial"/>
      <w:sz w:val="24"/>
      <w:szCs w:val="24"/>
    </w:rPr>
  </w:style>
  <w:style w:type="paragraph" w:customStyle="1" w:styleId="10">
    <w:name w:val="报告书正文样式1"/>
    <w:basedOn w:val="a"/>
    <w:link w:val="1Char0"/>
    <w:qFormat/>
    <w:pPr>
      <w:ind w:firstLine="425"/>
      <w:textAlignment w:val="baseline"/>
    </w:pPr>
    <w:rPr>
      <w:rFonts w:ascii="Arial" w:eastAsiaTheme="minorEastAsia" w:hAnsi="Arial" w:cs="Arial"/>
      <w:szCs w:val="24"/>
    </w:rPr>
  </w:style>
  <w:style w:type="character" w:customStyle="1" w:styleId="21">
    <w:name w:val="标题 2 字符1"/>
    <w:link w:val="2"/>
    <w:qFormat/>
    <w:rPr>
      <w:rFonts w:ascii="Times New Roman" w:eastAsia="黑体" w:hAnsi="Times New Roman" w:cs="Times New Roman"/>
      <w:b/>
      <w:bCs/>
      <w:kern w:val="0"/>
      <w:sz w:val="28"/>
      <w:szCs w:val="32"/>
    </w:rPr>
  </w:style>
  <w:style w:type="character" w:customStyle="1" w:styleId="31">
    <w:name w:val="标题 3 字符1"/>
    <w:link w:val="3"/>
    <w:qFormat/>
    <w:rPr>
      <w:rFonts w:ascii="Times New Roman" w:eastAsia="黑体" w:hAnsi="Times New Roman" w:cs="Times New Roman"/>
      <w:bCs/>
      <w:kern w:val="0"/>
      <w:sz w:val="28"/>
      <w:szCs w:val="32"/>
    </w:rPr>
  </w:style>
  <w:style w:type="paragraph" w:styleId="a3">
    <w:name w:val="header"/>
    <w:basedOn w:val="a"/>
    <w:link w:val="a4"/>
    <w:uiPriority w:val="99"/>
    <w:unhideWhenUsed/>
    <w:rsid w:val="00146C8D"/>
    <w:pPr>
      <w:pBdr>
        <w:bottom w:val="single" w:sz="6" w:space="1" w:color="auto"/>
      </w:pBdr>
      <w:tabs>
        <w:tab w:val="center" w:pos="4153"/>
        <w:tab w:val="right" w:pos="8306"/>
      </w:tabs>
      <w:spacing w:line="240" w:lineRule="auto"/>
      <w:jc w:val="center"/>
    </w:pPr>
    <w:rPr>
      <w:sz w:val="18"/>
      <w:szCs w:val="18"/>
    </w:rPr>
  </w:style>
  <w:style w:type="character" w:customStyle="1" w:styleId="a4">
    <w:name w:val="页眉 字符"/>
    <w:basedOn w:val="a0"/>
    <w:link w:val="a3"/>
    <w:uiPriority w:val="99"/>
    <w:rsid w:val="00146C8D"/>
    <w:rPr>
      <w:kern w:val="2"/>
      <w:sz w:val="18"/>
      <w:szCs w:val="18"/>
    </w:rPr>
  </w:style>
  <w:style w:type="paragraph" w:styleId="a5">
    <w:name w:val="footer"/>
    <w:basedOn w:val="a"/>
    <w:link w:val="a6"/>
    <w:uiPriority w:val="99"/>
    <w:unhideWhenUsed/>
    <w:rsid w:val="00146C8D"/>
    <w:pPr>
      <w:tabs>
        <w:tab w:val="center" w:pos="4153"/>
        <w:tab w:val="right" w:pos="8306"/>
      </w:tabs>
      <w:spacing w:line="240" w:lineRule="auto"/>
      <w:jc w:val="left"/>
    </w:pPr>
    <w:rPr>
      <w:sz w:val="18"/>
      <w:szCs w:val="18"/>
    </w:rPr>
  </w:style>
  <w:style w:type="character" w:customStyle="1" w:styleId="a6">
    <w:name w:val="页脚 字符"/>
    <w:basedOn w:val="a0"/>
    <w:link w:val="a5"/>
    <w:uiPriority w:val="99"/>
    <w:rsid w:val="00146C8D"/>
    <w:rPr>
      <w:kern w:val="2"/>
      <w:sz w:val="18"/>
      <w:szCs w:val="18"/>
    </w:rPr>
  </w:style>
  <w:style w:type="character" w:customStyle="1" w:styleId="1Char">
    <w:name w:val="标题 1 Char"/>
    <w:link w:val="1"/>
    <w:rsid w:val="00146C8D"/>
    <w:rPr>
      <w:b/>
      <w:kern w:val="44"/>
      <w:sz w:val="4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170337">
      <w:bodyDiv w:val="1"/>
      <w:marLeft w:val="0"/>
      <w:marRight w:val="0"/>
      <w:marTop w:val="0"/>
      <w:marBottom w:val="0"/>
      <w:divBdr>
        <w:top w:val="none" w:sz="0" w:space="0" w:color="auto"/>
        <w:left w:val="none" w:sz="0" w:space="0" w:color="auto"/>
        <w:bottom w:val="none" w:sz="0" w:space="0" w:color="auto"/>
        <w:right w:val="none" w:sz="0" w:space="0" w:color="auto"/>
      </w:divBdr>
    </w:div>
    <w:div w:id="1058936145">
      <w:bodyDiv w:val="1"/>
      <w:marLeft w:val="0"/>
      <w:marRight w:val="0"/>
      <w:marTop w:val="0"/>
      <w:marBottom w:val="0"/>
      <w:divBdr>
        <w:top w:val="none" w:sz="0" w:space="0" w:color="auto"/>
        <w:left w:val="none" w:sz="0" w:space="0" w:color="auto"/>
        <w:bottom w:val="none" w:sz="0" w:space="0" w:color="auto"/>
        <w:right w:val="none" w:sz="0" w:space="0" w:color="auto"/>
      </w:divBdr>
    </w:div>
    <w:div w:id="1513496093">
      <w:bodyDiv w:val="1"/>
      <w:marLeft w:val="0"/>
      <w:marRight w:val="0"/>
      <w:marTop w:val="0"/>
      <w:marBottom w:val="0"/>
      <w:divBdr>
        <w:top w:val="none" w:sz="0" w:space="0" w:color="auto"/>
        <w:left w:val="none" w:sz="0" w:space="0" w:color="auto"/>
        <w:bottom w:val="none" w:sz="0" w:space="0" w:color="auto"/>
        <w:right w:val="none" w:sz="0" w:space="0" w:color="auto"/>
      </w:divBdr>
    </w:div>
    <w:div w:id="1578202491">
      <w:bodyDiv w:val="1"/>
      <w:marLeft w:val="0"/>
      <w:marRight w:val="0"/>
      <w:marTop w:val="0"/>
      <w:marBottom w:val="0"/>
      <w:divBdr>
        <w:top w:val="none" w:sz="0" w:space="0" w:color="auto"/>
        <w:left w:val="none" w:sz="0" w:space="0" w:color="auto"/>
        <w:bottom w:val="none" w:sz="0" w:space="0" w:color="auto"/>
        <w:right w:val="none" w:sz="0" w:space="0" w:color="auto"/>
      </w:divBdr>
    </w:div>
    <w:div w:id="17944417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383</Words>
  <Characters>2189</Characters>
  <Application>Microsoft Office Word</Application>
  <DocSecurity>0</DocSecurity>
  <Lines>18</Lines>
  <Paragraphs>5</Paragraphs>
  <ScaleCrop>false</ScaleCrop>
  <Company/>
  <LinksUpToDate>false</LinksUpToDate>
  <CharactersWithSpaces>2567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dc:creator>
  <cp:lastModifiedBy>ly</cp:lastModifiedBy>
  <cp:revision>4</cp:revision>
  <dcterms:created xsi:type="dcterms:W3CDTF">2020-03-31T11:01:00Z</dcterms:created>
  <dcterms:modified xsi:type="dcterms:W3CDTF">2020-03-31T11:29:00Z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